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934" w:rsidRDefault="00622934">
      <w:pPr>
        <w:widowControl w:val="0"/>
        <w:pBdr>
          <w:top w:val="nil"/>
          <w:left w:val="nil"/>
          <w:bottom w:val="nil"/>
          <w:right w:val="nil"/>
          <w:between w:val="nil"/>
        </w:pBdr>
        <w:spacing w:after="0" w:line="276" w:lineRule="auto"/>
      </w:pPr>
    </w:p>
    <w:p w:rsidR="00622934" w:rsidRDefault="00622934">
      <w:pPr>
        <w:widowControl w:val="0"/>
        <w:pBdr>
          <w:top w:val="nil"/>
          <w:left w:val="nil"/>
          <w:bottom w:val="nil"/>
          <w:right w:val="nil"/>
          <w:between w:val="nil"/>
        </w:pBdr>
        <w:spacing w:after="0" w:line="276" w:lineRule="auto"/>
        <w:rPr>
          <w:sz w:val="24"/>
          <w:szCs w:val="24"/>
        </w:rPr>
      </w:pPr>
    </w:p>
    <w:p w:rsidR="00622934" w:rsidRDefault="008B031B">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Achiziţie de material rulant electric, inclusiv cu baterii, după caz</w:t>
      </w:r>
    </w:p>
    <w:p w:rsidR="00622934" w:rsidRDefault="00622934">
      <w:pPr>
        <w:spacing w:line="256" w:lineRule="auto"/>
        <w:jc w:val="center"/>
        <w:rPr>
          <w:rFonts w:ascii="Times New Roman" w:eastAsia="Times New Roman" w:hAnsi="Times New Roman" w:cs="Times New Roman"/>
          <w:b/>
          <w:color w:val="38761D"/>
          <w:sz w:val="24"/>
          <w:szCs w:val="24"/>
        </w:rPr>
      </w:pPr>
    </w:p>
    <w:p w:rsidR="00622934" w:rsidRDefault="008B031B">
      <w:pPr>
        <w:spacing w:line="256" w:lineRule="auto"/>
        <w:jc w:val="both"/>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622934" w:rsidRDefault="008B031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Submăsura vizează achiziţia a 20 unități multiple electrice feroviare, care pot fi prevăzute, după caz, și cu baterii (</w:t>
      </w:r>
      <w:r>
        <w:rPr>
          <w:rFonts w:ascii="Times New Roman" w:eastAsia="Times New Roman" w:hAnsi="Times New Roman" w:cs="Times New Roman"/>
          <w:i/>
          <w:sz w:val="24"/>
          <w:szCs w:val="24"/>
        </w:rPr>
        <w:t>Electric multiple unit - EMU</w:t>
      </w:r>
      <w:r>
        <w:rPr>
          <w:rFonts w:ascii="Times New Roman" w:eastAsia="Times New Roman" w:hAnsi="Times New Roman" w:cs="Times New Roman"/>
          <w:sz w:val="24"/>
          <w:szCs w:val="24"/>
        </w:rPr>
        <w:t>). Unitățile multiple electrice prevăzute cu baterii vor fi folosite în primul rând pe rutele parţial electrificate. În acest caz, pe secţiunea electrificată va fi folosită tracțiunea electrică cu alimentare directă din rețea (perioadă în care se încarcă ș</w:t>
      </w:r>
      <w:r>
        <w:rPr>
          <w:rFonts w:ascii="Times New Roman" w:eastAsia="Times New Roman" w:hAnsi="Times New Roman" w:cs="Times New Roman"/>
          <w:sz w:val="24"/>
          <w:szCs w:val="24"/>
        </w:rPr>
        <w:t>i bateriile), iar pe secțiunea neelectrificată se va circula cu tracțiune electrică pe bază de baterii.</w:t>
      </w:r>
    </w:p>
    <w:p w:rsidR="00622934" w:rsidRDefault="008B031B">
      <w:pPr>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Aceste unități multiple electrice vor fi folosite pe rețeaua feroviară națională, dar şi pentru călătorii urbane şi metropolitane, fiind material rulant</w:t>
      </w:r>
      <w:r>
        <w:rPr>
          <w:rFonts w:ascii="Times New Roman" w:eastAsia="Times New Roman" w:hAnsi="Times New Roman" w:cs="Times New Roman"/>
          <w:sz w:val="24"/>
          <w:szCs w:val="24"/>
        </w:rPr>
        <w:t xml:space="preserve"> de lung parcurs (EMU-IC) sau de scurt parcurs (EMU-R). Toate unitățile multiple achiziţionate vor fi folosite pentru prestarea serviciului public de transport de călători.</w:t>
      </w:r>
    </w:p>
    <w:p w:rsidR="00622934" w:rsidRDefault="008B031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Unitățile multiple electrice utilizate pe rețeaua feroviară națională vor dispune ş</w:t>
      </w:r>
      <w:r>
        <w:rPr>
          <w:rFonts w:ascii="Times New Roman" w:eastAsia="Times New Roman" w:hAnsi="Times New Roman" w:cs="Times New Roman"/>
          <w:sz w:val="24"/>
          <w:szCs w:val="24"/>
        </w:rPr>
        <w:t>i de instalație ERTMS on-board.</w:t>
      </w:r>
    </w:p>
    <w:p w:rsidR="00622934" w:rsidRDefault="008B031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România, cel mai recent parc de unități feroviare multiple a fost achiziționat în perioada 2002-2007 la operatorul național de transport feroviar public de călători și este compus din 120 de automotoare Diesel, din care a</w:t>
      </w:r>
      <w:r>
        <w:rPr>
          <w:rFonts w:ascii="Times New Roman" w:eastAsia="Times New Roman" w:hAnsi="Times New Roman" w:cs="Times New Roman"/>
          <w:sz w:val="24"/>
          <w:szCs w:val="24"/>
        </w:rPr>
        <w:t>pte pentru operare la acest moment sunt un pic peste jumătate (65 de unități).</w:t>
      </w:r>
    </w:p>
    <w:p w:rsidR="00622934" w:rsidRDefault="008B031B">
      <w:pPr>
        <w:jc w:val="both"/>
        <w:rPr>
          <w:rFonts w:ascii="Times New Roman" w:eastAsia="Times New Roman" w:hAnsi="Times New Roman" w:cs="Times New Roman"/>
          <w:sz w:val="24"/>
          <w:szCs w:val="24"/>
        </w:rPr>
        <w:sectPr w:rsidR="00622934">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sz w:val="24"/>
          <w:szCs w:val="24"/>
        </w:rPr>
        <w:t>Analiza de piață a operatorului național de transport feroviar public de călători estimează un deficit de unități feroviare multiple de aproximativ 200 de unități.</w:t>
      </w:r>
    </w:p>
    <w:p w:rsidR="00622934" w:rsidRDefault="00622934">
      <w:pPr>
        <w:rPr>
          <w:rFonts w:ascii="Times New Roman" w:eastAsia="Times New Roman" w:hAnsi="Times New Roman" w:cs="Times New Roman"/>
          <w:sz w:val="24"/>
          <w:szCs w:val="24"/>
        </w:rPr>
      </w:pPr>
    </w:p>
    <w:p w:rsidR="00622934" w:rsidRDefault="008B031B">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1"/>
        <w:tblW w:w="140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920"/>
        <w:gridCol w:w="735"/>
        <w:gridCol w:w="630"/>
        <w:gridCol w:w="9675"/>
      </w:tblGrid>
      <w:tr w:rsidR="00622934">
        <w:trPr>
          <w:jc w:val="center"/>
        </w:trPr>
        <w:tc>
          <w:tcPr>
            <w:tcW w:w="3015"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rsidR="00622934" w:rsidRDefault="008B031B">
            <w:pPr>
              <w:spacing w:after="120"/>
              <w:jc w:val="center"/>
              <w:rPr>
                <w:b/>
              </w:rPr>
            </w:pPr>
            <w:r>
              <w:rPr>
                <w:b/>
              </w:rPr>
              <w:t>Please indicate which of the environmental objectives below require a substanti</w:t>
            </w:r>
            <w:r>
              <w:rPr>
                <w:b/>
              </w:rPr>
              <w:t>ve DNSH assessment of the measure</w:t>
            </w:r>
          </w:p>
        </w:tc>
        <w:tc>
          <w:tcPr>
            <w:tcW w:w="73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622934" w:rsidRDefault="008B031B">
            <w:pPr>
              <w:spacing w:after="120"/>
              <w:jc w:val="center"/>
              <w:rPr>
                <w:b/>
              </w:rPr>
            </w:pPr>
            <w:r>
              <w:rPr>
                <w:b/>
              </w:rPr>
              <w:t>Yes</w:t>
            </w:r>
          </w:p>
        </w:tc>
        <w:tc>
          <w:tcPr>
            <w:tcW w:w="63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622934" w:rsidRDefault="008B031B">
            <w:pPr>
              <w:spacing w:after="120"/>
              <w:jc w:val="center"/>
              <w:rPr>
                <w:b/>
              </w:rPr>
            </w:pPr>
            <w:r>
              <w:rPr>
                <w:b/>
              </w:rPr>
              <w:t>No</w:t>
            </w:r>
          </w:p>
        </w:tc>
        <w:tc>
          <w:tcPr>
            <w:tcW w:w="967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622934" w:rsidRDefault="008B031B">
            <w:pPr>
              <w:spacing w:after="120"/>
              <w:jc w:val="center"/>
              <w:rPr>
                <w:b/>
              </w:rPr>
            </w:pPr>
            <w:r>
              <w:rPr>
                <w:b/>
              </w:rPr>
              <w:t>Justification if ‘No’ has been selected</w:t>
            </w:r>
          </w:p>
        </w:tc>
      </w:tr>
      <w:tr w:rsidR="00622934">
        <w:trPr>
          <w:trHeight w:val="4125"/>
          <w:jc w:val="center"/>
        </w:trPr>
        <w:tc>
          <w:tcPr>
            <w:tcW w:w="1095" w:type="dxa"/>
            <w:vMerge w:val="restart"/>
            <w:tcBorders>
              <w:top w:val="single" w:sz="4" w:space="0" w:color="000000"/>
              <w:left w:val="single" w:sz="4" w:space="0" w:color="000000"/>
              <w:right w:val="single" w:sz="4" w:space="0" w:color="000000"/>
            </w:tcBorders>
          </w:tcPr>
          <w:p w:rsidR="00622934" w:rsidRDefault="008B031B">
            <w:pPr>
              <w:spacing w:after="120"/>
              <w:rPr>
                <w:b/>
              </w:rPr>
            </w:pPr>
            <w:r>
              <w:rPr>
                <w:b/>
                <w:color w:val="000000"/>
                <w:highlight w:val="white"/>
              </w:rPr>
              <w:t>Climate change mitigation</w:t>
            </w:r>
          </w:p>
        </w:tc>
        <w:tc>
          <w:tcPr>
            <w:tcW w:w="1920" w:type="dxa"/>
            <w:tcBorders>
              <w:top w:val="single" w:sz="4" w:space="0" w:color="000000"/>
              <w:left w:val="single" w:sz="4" w:space="0" w:color="000000"/>
              <w:bottom w:val="single" w:sz="4" w:space="0" w:color="000000"/>
              <w:right w:val="single" w:sz="4" w:space="0" w:color="000000"/>
            </w:tcBorders>
          </w:tcPr>
          <w:p w:rsidR="00622934" w:rsidRDefault="008B031B">
            <w:pPr>
              <w:spacing w:after="120"/>
              <w:rPr>
                <w:b/>
              </w:rPr>
            </w:pPr>
            <w:r>
              <w:rPr>
                <w:b/>
              </w:rPr>
              <w:t>Achiziţie trenuri/automotoare</w:t>
            </w:r>
          </w:p>
          <w:p w:rsidR="00622934" w:rsidRDefault="008B031B">
            <w:pPr>
              <w:spacing w:after="120"/>
              <w:rPr>
                <w:b/>
              </w:rPr>
            </w:pPr>
            <w:r>
              <w:rPr>
                <w:b/>
              </w:rPr>
              <w:t>electrice</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jc w:val="both"/>
            </w:pPr>
            <w: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t>și efectele primare indirecte de pe parcursul duratei de viaţă a investiţiei, întrucȃt trenurile/automotoarele electrice, inclusiv cu baterii, după caz, reprezintă material rulant cu emisii zero.</w:t>
            </w:r>
          </w:p>
          <w:p w:rsidR="00622934" w:rsidRDefault="00622934">
            <w:pPr>
              <w:jc w:val="both"/>
            </w:pPr>
          </w:p>
          <w:p w:rsidR="00622934" w:rsidRDefault="008B031B">
            <w:pPr>
              <w:jc w:val="both"/>
            </w:pPr>
            <w:r>
              <w:t>Achiziţia de material rulant electric este eligibilă în cad</w:t>
            </w:r>
            <w:r>
              <w:t xml:space="preserve">rul domeniului de intervenție </w:t>
            </w:r>
            <w:r>
              <w:rPr>
                <w:i/>
              </w:rPr>
              <w:t xml:space="preserve">072a - Active feroviare mobile cu emisii zero/electrice </w:t>
            </w:r>
            <w:r>
              <w:t xml:space="preserve">din anexa VI la Regulamentul (UE) nr. 2021/241, cu un coeficient de 100% pentru obiectivul privind schimbările climatice. Având în vedere faptul că submăsura sprijină cu </w:t>
            </w:r>
            <w:r>
              <w:t>un coeficient de 100% obiectivul privind atenuarea schimbărilor climatice, se consideră îndeplinit principiul DNSH pentru acest obiectiv de mediu, investiția sprijinind trecerea la o economie neutră din punct de vedere climatic.</w:t>
            </w:r>
          </w:p>
          <w:p w:rsidR="00622934" w:rsidRDefault="00622934">
            <w:pPr>
              <w:jc w:val="both"/>
            </w:pPr>
          </w:p>
          <w:p w:rsidR="00622934" w:rsidRDefault="008B031B">
            <w:pPr>
              <w:jc w:val="both"/>
            </w:pPr>
            <w:r>
              <w:t xml:space="preserve">În asigurarea faptului că </w:t>
            </w:r>
            <w:r>
              <w:t>această opțiune de transport respectă mediul, la fel de importantă este și decarbonizarea producției de energie electrică, în linie cu obiectivele din Planul Național Integrat în domeniul Energiei și Schimbărilor Climatice 2021 – 2030 (PNIESC) – document a</w:t>
            </w:r>
            <w:r>
              <w:t xml:space="preserve">flat în proces de actualizare. În PNRR sunt prevăzute o serie de măsuri specifice de decarbonizare a producției de energie electrică, ce se regăsesc în componenta </w:t>
            </w:r>
            <w:r>
              <w:rPr>
                <w:i/>
              </w:rPr>
              <w:t>6 - Energie regenerabilă și eficiență energetică</w:t>
            </w:r>
            <w:r>
              <w:t xml:space="preserve"> din </w:t>
            </w:r>
            <w:r>
              <w:rPr>
                <w:i/>
              </w:rPr>
              <w:t>Pilonul I - Tranziția verde.</w:t>
            </w:r>
          </w:p>
        </w:tc>
      </w:tr>
      <w:tr w:rsidR="00622934">
        <w:trPr>
          <w:trHeight w:val="699"/>
          <w:jc w:val="center"/>
        </w:trPr>
        <w:tc>
          <w:tcPr>
            <w:tcW w:w="1095" w:type="dxa"/>
            <w:vMerge/>
            <w:tcBorders>
              <w:top w:val="single" w:sz="4" w:space="0" w:color="000000"/>
              <w:left w:val="single" w:sz="4" w:space="0" w:color="000000"/>
              <w:right w:val="single" w:sz="4" w:space="0" w:color="000000"/>
            </w:tcBorders>
          </w:tcPr>
          <w:p w:rsidR="00622934" w:rsidRDefault="00622934">
            <w:pPr>
              <w:widowControl w:val="0"/>
              <w:pBdr>
                <w:top w:val="nil"/>
                <w:left w:val="nil"/>
                <w:bottom w:val="nil"/>
                <w:right w:val="nil"/>
                <w:between w:val="nil"/>
              </w:pBdr>
              <w:spacing w:line="276" w:lineRule="auto"/>
            </w:pPr>
          </w:p>
        </w:tc>
        <w:tc>
          <w:tcPr>
            <w:tcW w:w="1920" w:type="dxa"/>
            <w:tcBorders>
              <w:top w:val="single" w:sz="4" w:space="0" w:color="000000"/>
              <w:left w:val="single" w:sz="4" w:space="0" w:color="000000"/>
              <w:bottom w:val="single" w:sz="4" w:space="0" w:color="000000"/>
              <w:right w:val="single" w:sz="4" w:space="0" w:color="000000"/>
            </w:tcBorders>
          </w:tcPr>
          <w:p w:rsidR="00622934" w:rsidRDefault="008B031B">
            <w:pPr>
              <w:spacing w:after="120"/>
              <w:rPr>
                <w:b/>
              </w:rPr>
            </w:pPr>
            <w:r>
              <w:rPr>
                <w:b/>
              </w:rPr>
              <w:t xml:space="preserve">Sistemul european de management al traficului </w:t>
            </w:r>
            <w:r>
              <w:rPr>
                <w:b/>
              </w:rPr>
              <w:lastRenderedPageBreak/>
              <w:t>feroviar (ERTMS</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spacing w:after="120" w:line="259" w:lineRule="auto"/>
              <w:jc w:val="both"/>
            </w:pPr>
            <w:r>
              <w:t>Unitățile multiple /automotoarele electrice utilizate pe rețeaua feroviară națională vor dispune şi de instalație ERTMS on-board.</w:t>
            </w:r>
          </w:p>
          <w:p w:rsidR="00622934" w:rsidRDefault="008B031B">
            <w:pPr>
              <w:spacing w:after="120" w:line="259" w:lineRule="auto"/>
              <w:jc w:val="both"/>
            </w:pPr>
            <w:r>
              <w:lastRenderedPageBreak/>
              <w:t xml:space="preserve">Această submăsură este eligibilă în cadrul domeniului de intervenție </w:t>
            </w:r>
            <w:r>
              <w:rPr>
                <w:i/>
              </w:rPr>
              <w:t xml:space="preserve">071 - Sistemul european de management al traficului feroviar (ERTMS) </w:t>
            </w:r>
            <w:r>
              <w:t>din anexa VI la Regulamentul (UE) nr. 2021/241, cu un coeficient de 40% pentru obiectivul privind schimbările climatic</w:t>
            </w:r>
            <w:r>
              <w:t>e.</w:t>
            </w:r>
          </w:p>
          <w:p w:rsidR="00622934" w:rsidRDefault="008B031B">
            <w:pPr>
              <w:spacing w:after="120" w:line="259" w:lineRule="auto"/>
              <w:jc w:val="both"/>
            </w:pPr>
            <w:r>
              <w:t>ERTMS este compus din două subsisteme bazate pe software: subsistemul de cale (la sol) și subsistemul de la bord, din care doar subsistemul de la bord face obiectul prezentei submăsuri. Sistemul de cale și sistemul instalat la bordul vehiculelor vor face s</w:t>
            </w:r>
            <w:r>
              <w:t>chimb de informații permițând supravegherea continuă a vitezei maxime admise pentru funcționare.</w:t>
            </w:r>
          </w:p>
          <w:p w:rsidR="00622934" w:rsidRDefault="008B031B">
            <w:pPr>
              <w:spacing w:after="120" w:line="259" w:lineRule="auto"/>
              <w:jc w:val="both"/>
            </w:pPr>
            <w:r>
              <w:t>În afară de creșterea gradului de interoperabilitate la nivelul căilor ferate de la nivel european, ERTMS are potențialul de a îmbunătăți capacitatea, siguranţ</w:t>
            </w:r>
            <w:r>
              <w:t>a și viteza transportului feroviar. În situaţia în care ar fi implementat integral, ERTMS ar ajuta transportul feroviar să devină mai competitiv comparativ cu alte moduri de transport, contribuind astfel la reducerea emisiilor de GES din transportul rutier</w:t>
            </w:r>
            <w:r>
              <w:t xml:space="preserve"> şi la îndeplinirea obiectivelor de mediu ale UE.</w:t>
            </w:r>
          </w:p>
          <w:p w:rsidR="00622934" w:rsidRDefault="008B031B">
            <w:pPr>
              <w:jc w:val="both"/>
            </w:pPr>
            <w:r>
              <w:t>Se estimează că activitatea sprijinită prin această submăsură nu va avea un impact semnificativ previzibil asupra acestui obiectiv de mediu, luȃnd în considerare atȃt efectele directe de pe parcursul implem</w:t>
            </w:r>
            <w:r>
              <w:t>entării, cȃt și efectele indirecte de pe parcursul duratei de viaţă a investiţiilor.</w:t>
            </w:r>
          </w:p>
        </w:tc>
      </w:tr>
      <w:tr w:rsidR="00622934">
        <w:trPr>
          <w:trHeight w:val="825"/>
          <w:jc w:val="center"/>
        </w:trPr>
        <w:tc>
          <w:tcPr>
            <w:tcW w:w="3015" w:type="dxa"/>
            <w:gridSpan w:val="2"/>
            <w:tcBorders>
              <w:top w:val="single" w:sz="4" w:space="0" w:color="000000"/>
              <w:left w:val="single" w:sz="4" w:space="0" w:color="000000"/>
              <w:right w:val="single" w:sz="4" w:space="0" w:color="000000"/>
            </w:tcBorders>
          </w:tcPr>
          <w:p w:rsidR="00622934" w:rsidRDefault="008B031B">
            <w:pPr>
              <w:spacing w:after="120"/>
              <w:jc w:val="both"/>
              <w:rPr>
                <w:b/>
              </w:rPr>
            </w:pPr>
            <w:r>
              <w:rPr>
                <w:b/>
              </w:rPr>
              <w:lastRenderedPageBreak/>
              <w:t>Climate change adaptation</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jc w:val="both"/>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both"/>
            </w:pPr>
            <w:r>
              <w:t>Submăsura privind achiziţia de material rulant electric, inclusiv cu baterii, după caz, nu are un impact previzibil semnificativ asupra obiec</w:t>
            </w:r>
            <w:r>
              <w:t>tivului de mediu privind adaptarea la schimbările climatice, luȃnd în considerare efectele directe și efectele primare indirecte de pe parcursul implementării.</w:t>
            </w:r>
          </w:p>
        </w:tc>
      </w:tr>
      <w:tr w:rsidR="00622934">
        <w:trPr>
          <w:trHeight w:val="696"/>
          <w:jc w:val="center"/>
        </w:trPr>
        <w:tc>
          <w:tcPr>
            <w:tcW w:w="3015" w:type="dxa"/>
            <w:gridSpan w:val="2"/>
            <w:tcBorders>
              <w:top w:val="single" w:sz="4" w:space="0" w:color="000000"/>
              <w:left w:val="single" w:sz="4" w:space="0" w:color="000000"/>
              <w:right w:val="single" w:sz="4" w:space="0" w:color="000000"/>
            </w:tcBorders>
            <w:shd w:val="clear" w:color="auto" w:fill="auto"/>
          </w:tcPr>
          <w:p w:rsidR="00622934" w:rsidRDefault="008B031B">
            <w:pPr>
              <w:spacing w:after="120"/>
              <w:rPr>
                <w:b/>
              </w:rPr>
            </w:pPr>
            <w:r>
              <w:rPr>
                <w:b/>
              </w:rPr>
              <w:t>The sustainable use and protection of water and marine resources</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jc w:val="both"/>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both"/>
            </w:pPr>
            <w:r>
              <w:t>Submăsura privind achiziţia de material rulant electric, inclusiv cu baterii, după caz, nu are un impact previzibil semnificativ asupra obiectivului de mediu privind utilizarea sustenabilă  şi protecţia apelor şi a resurselor marine, luȃnd în considerare e</w:t>
            </w:r>
            <w:r>
              <w:t>fectele directe și efectele primare indirecte de pe parcursul implementării.</w:t>
            </w:r>
          </w:p>
        </w:tc>
      </w:tr>
      <w:tr w:rsidR="00622934">
        <w:trPr>
          <w:trHeight w:val="784"/>
          <w:jc w:val="center"/>
        </w:trPr>
        <w:tc>
          <w:tcPr>
            <w:tcW w:w="3015" w:type="dxa"/>
            <w:gridSpan w:val="2"/>
            <w:tcBorders>
              <w:top w:val="single" w:sz="4" w:space="0" w:color="000000"/>
              <w:left w:val="single" w:sz="4" w:space="0" w:color="000000"/>
              <w:right w:val="single" w:sz="4" w:space="0" w:color="000000"/>
            </w:tcBorders>
            <w:shd w:val="clear" w:color="auto" w:fill="auto"/>
          </w:tcPr>
          <w:p w:rsidR="00622934" w:rsidRDefault="008B031B">
            <w:pPr>
              <w:spacing w:after="120"/>
              <w:rPr>
                <w:b/>
              </w:rPr>
            </w:pPr>
            <w:r>
              <w:rPr>
                <w:b/>
              </w:rPr>
              <w:t>The circular economy, including waste prevention and recycling</w:t>
            </w:r>
          </w:p>
        </w:tc>
        <w:tc>
          <w:tcPr>
            <w:tcW w:w="735"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630" w:type="dxa"/>
            <w:tcBorders>
              <w:top w:val="single" w:sz="4" w:space="0" w:color="000000"/>
              <w:left w:val="single" w:sz="4" w:space="0" w:color="000000"/>
              <w:bottom w:val="single" w:sz="4" w:space="0" w:color="000000"/>
              <w:right w:val="single" w:sz="4" w:space="0" w:color="000000"/>
            </w:tcBorders>
          </w:tcPr>
          <w:p w:rsidR="00622934" w:rsidRDefault="00622934">
            <w:pPr>
              <w:spacing w:after="120"/>
              <w:jc w:val="both"/>
              <w:rPr>
                <w:b/>
              </w:rPr>
            </w:pPr>
          </w:p>
        </w:tc>
        <w:tc>
          <w:tcPr>
            <w:tcW w:w="9675" w:type="dxa"/>
            <w:tcBorders>
              <w:top w:val="single" w:sz="4" w:space="0" w:color="000000"/>
              <w:left w:val="single" w:sz="4" w:space="0" w:color="000000"/>
              <w:bottom w:val="single" w:sz="4" w:space="0" w:color="000000"/>
              <w:right w:val="single" w:sz="4" w:space="0" w:color="000000"/>
            </w:tcBorders>
          </w:tcPr>
          <w:p w:rsidR="00622934" w:rsidRDefault="00622934"/>
          <w:p w:rsidR="00622934" w:rsidRDefault="00622934"/>
        </w:tc>
      </w:tr>
      <w:tr w:rsidR="00622934">
        <w:trPr>
          <w:trHeight w:val="171"/>
          <w:jc w:val="center"/>
        </w:trPr>
        <w:tc>
          <w:tcPr>
            <w:tcW w:w="3015" w:type="dxa"/>
            <w:gridSpan w:val="2"/>
            <w:tcBorders>
              <w:top w:val="single" w:sz="4" w:space="0" w:color="000000"/>
              <w:left w:val="single" w:sz="4" w:space="0" w:color="000000"/>
              <w:right w:val="single" w:sz="4" w:space="0" w:color="000000"/>
            </w:tcBorders>
          </w:tcPr>
          <w:p w:rsidR="00622934" w:rsidRDefault="008B031B">
            <w:pPr>
              <w:spacing w:after="120"/>
              <w:jc w:val="both"/>
              <w:rPr>
                <w:b/>
              </w:rPr>
            </w:pPr>
            <w:r>
              <w:rPr>
                <w:b/>
              </w:rPr>
              <w:t>Pollution prevention and control to air, water or land</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jc w:val="both"/>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both"/>
            </w:pPr>
            <w:r>
              <w:t xml:space="preserve">Submăsura privind achiziţia de material rulant electric, inclusiv cu baterii, după caz, nu are un impact previzibil semnificativ asupra obiectivului de mediu privind prevenirea şi controlul poluării </w:t>
            </w:r>
            <w:r>
              <w:lastRenderedPageBreak/>
              <w:t>aerului, apei şi solului, luȃnd în considerare efectele d</w:t>
            </w:r>
            <w:r>
              <w:t>irecte și efectele primare indirecte de pe parcursul implementării.</w:t>
            </w:r>
          </w:p>
        </w:tc>
      </w:tr>
      <w:tr w:rsidR="00622934">
        <w:trPr>
          <w:jc w:val="center"/>
        </w:trPr>
        <w:tc>
          <w:tcPr>
            <w:tcW w:w="3015" w:type="dxa"/>
            <w:gridSpan w:val="2"/>
            <w:tcBorders>
              <w:top w:val="single" w:sz="4" w:space="0" w:color="000000"/>
              <w:left w:val="single" w:sz="4" w:space="0" w:color="000000"/>
              <w:bottom w:val="single" w:sz="4" w:space="0" w:color="000000"/>
              <w:right w:val="single" w:sz="4" w:space="0" w:color="000000"/>
            </w:tcBorders>
          </w:tcPr>
          <w:p w:rsidR="00622934" w:rsidRDefault="008B031B">
            <w:pPr>
              <w:spacing w:after="120"/>
              <w:rPr>
                <w:b/>
              </w:rPr>
            </w:pPr>
            <w:r>
              <w:rPr>
                <w:b/>
              </w:rPr>
              <w:lastRenderedPageBreak/>
              <w:t>The protection and restoration of biodiversity and ecosystems</w:t>
            </w:r>
          </w:p>
        </w:tc>
        <w:tc>
          <w:tcPr>
            <w:tcW w:w="735" w:type="dxa"/>
            <w:tcBorders>
              <w:top w:val="single" w:sz="4" w:space="0" w:color="000000"/>
              <w:left w:val="single" w:sz="4" w:space="0" w:color="000000"/>
              <w:bottom w:val="single" w:sz="4" w:space="0" w:color="000000"/>
              <w:right w:val="single" w:sz="4" w:space="0" w:color="000000"/>
            </w:tcBorders>
          </w:tcPr>
          <w:p w:rsidR="00622934" w:rsidRDefault="00622934">
            <w:pPr>
              <w:spacing w:after="120"/>
              <w:jc w:val="both"/>
              <w:rPr>
                <w:b/>
              </w:rPr>
            </w:pPr>
          </w:p>
        </w:tc>
        <w:tc>
          <w:tcPr>
            <w:tcW w:w="630"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center"/>
              <w:rPr>
                <w:b/>
              </w:rPr>
            </w:pPr>
            <w:r>
              <w:rPr>
                <w:b/>
              </w:rPr>
              <w:t>X</w:t>
            </w:r>
          </w:p>
        </w:tc>
        <w:tc>
          <w:tcPr>
            <w:tcW w:w="9675" w:type="dxa"/>
            <w:tcBorders>
              <w:top w:val="single" w:sz="4" w:space="0" w:color="000000"/>
              <w:left w:val="single" w:sz="4" w:space="0" w:color="000000"/>
              <w:bottom w:val="single" w:sz="4" w:space="0" w:color="000000"/>
              <w:right w:val="single" w:sz="4" w:space="0" w:color="000000"/>
            </w:tcBorders>
          </w:tcPr>
          <w:p w:rsidR="00622934" w:rsidRDefault="008B031B">
            <w:pPr>
              <w:spacing w:after="120"/>
              <w:jc w:val="both"/>
            </w:pPr>
            <w:r>
              <w:t>Submăsura privind achiziţia de material rulant electric, inclusiv cu baterii, după caz, nu are un impact previzibil semnificativ asupra obiectivului de mediu privind protecţia şi refacerea biodiversităţii şi ecosistemelor, luȃnd în considerare efectele dir</w:t>
            </w:r>
            <w:r>
              <w:t>ecte și efectele primare indirecte de pe parcursul implementării.</w:t>
            </w:r>
          </w:p>
        </w:tc>
      </w:tr>
    </w:tbl>
    <w:p w:rsidR="00622934" w:rsidRDefault="00622934">
      <w:pPr>
        <w:spacing w:line="256" w:lineRule="auto"/>
        <w:rPr>
          <w:rFonts w:ascii="Times New Roman" w:eastAsia="Times New Roman" w:hAnsi="Times New Roman" w:cs="Times New Roman"/>
          <w:b/>
          <w:sz w:val="24"/>
          <w:szCs w:val="24"/>
        </w:rPr>
      </w:pPr>
    </w:p>
    <w:p w:rsidR="00622934" w:rsidRDefault="008B031B">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Partea 2 -</w:t>
      </w:r>
    </w:p>
    <w:tbl>
      <w:tblPr>
        <w:tblStyle w:val="a2"/>
        <w:tblW w:w="14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10920"/>
      </w:tblGrid>
      <w:tr w:rsidR="00622934">
        <w:tc>
          <w:tcPr>
            <w:tcW w:w="2550" w:type="dxa"/>
            <w:shd w:val="clear" w:color="auto" w:fill="A8D08D"/>
          </w:tcPr>
          <w:p w:rsidR="00622934" w:rsidRDefault="008B031B">
            <w:pPr>
              <w:spacing w:after="120"/>
              <w:jc w:val="center"/>
              <w:rPr>
                <w:b/>
                <w:color w:val="000000"/>
                <w:highlight w:val="white"/>
              </w:rPr>
            </w:pPr>
            <w:r>
              <w:rPr>
                <w:b/>
              </w:rPr>
              <w:t>Questions</w:t>
            </w:r>
          </w:p>
        </w:tc>
        <w:tc>
          <w:tcPr>
            <w:tcW w:w="570" w:type="dxa"/>
            <w:shd w:val="clear" w:color="auto" w:fill="A8D08D"/>
          </w:tcPr>
          <w:p w:rsidR="00622934" w:rsidRDefault="008B031B">
            <w:pPr>
              <w:spacing w:after="120"/>
              <w:jc w:val="center"/>
              <w:rPr>
                <w:b/>
              </w:rPr>
            </w:pPr>
            <w:r>
              <w:rPr>
                <w:b/>
              </w:rPr>
              <w:t>No</w:t>
            </w:r>
          </w:p>
        </w:tc>
        <w:tc>
          <w:tcPr>
            <w:tcW w:w="10920" w:type="dxa"/>
            <w:shd w:val="clear" w:color="auto" w:fill="A8D08D"/>
          </w:tcPr>
          <w:p w:rsidR="00622934" w:rsidRDefault="008B031B">
            <w:pPr>
              <w:spacing w:after="120"/>
              <w:jc w:val="center"/>
              <w:rPr>
                <w:b/>
              </w:rPr>
            </w:pPr>
            <w:r>
              <w:rPr>
                <w:b/>
              </w:rPr>
              <w:t>Substantive justification</w:t>
            </w:r>
          </w:p>
        </w:tc>
      </w:tr>
      <w:tr w:rsidR="00622934">
        <w:tc>
          <w:tcPr>
            <w:tcW w:w="2550" w:type="dxa"/>
          </w:tcPr>
          <w:p w:rsidR="00622934" w:rsidRDefault="008B031B">
            <w:pPr>
              <w:spacing w:after="120"/>
              <w:rPr>
                <w:b/>
              </w:rPr>
            </w:pPr>
            <w:r>
              <w:rPr>
                <w:b/>
                <w:i/>
                <w:color w:val="000000"/>
                <w:highlight w:val="white"/>
              </w:rPr>
              <w:t xml:space="preserve">The transition to a circular economy, including waste prevention and recycling: </w:t>
            </w:r>
            <w:r>
              <w:rPr>
                <w:b/>
              </w:rPr>
              <w:t>Is the measure expected to:</w:t>
            </w:r>
          </w:p>
          <w:p w:rsidR="00622934" w:rsidRDefault="008B031B">
            <w:pPr>
              <w:numPr>
                <w:ilvl w:val="0"/>
                <w:numId w:val="1"/>
              </w:numPr>
              <w:spacing w:line="259" w:lineRule="auto"/>
              <w:rPr>
                <w:b/>
              </w:rPr>
            </w:pPr>
            <w:r>
              <w:rPr>
                <w:b/>
              </w:rPr>
              <w:t>lead to a significant increase in the generation, incineration or disposal of waste, with the exception of the incineration of non-recyclable hazardous waste; or</w:t>
            </w:r>
          </w:p>
          <w:p w:rsidR="00622934" w:rsidRDefault="008B031B">
            <w:pPr>
              <w:numPr>
                <w:ilvl w:val="0"/>
                <w:numId w:val="1"/>
              </w:numPr>
              <w:spacing w:line="259" w:lineRule="auto"/>
              <w:rPr>
                <w:b/>
              </w:rPr>
            </w:pPr>
            <w:r>
              <w:rPr>
                <w:b/>
              </w:rPr>
              <w:t xml:space="preserve">lead to significant inefficiencies in the direct or indirect </w:t>
            </w:r>
            <w:r>
              <w:rPr>
                <w:b/>
              </w:rPr>
              <w:lastRenderedPageBreak/>
              <w:t>use of any natural resource</w:t>
            </w:r>
            <w:r>
              <w:rPr>
                <w:b/>
                <w:vertAlign w:val="superscript"/>
              </w:rPr>
              <w:footnoteReference w:id="1"/>
            </w:r>
            <w:r>
              <w:rPr>
                <w:b/>
              </w:rPr>
              <w:t xml:space="preserve"> at a</w:t>
            </w:r>
            <w:r>
              <w:rPr>
                <w:b/>
              </w:rPr>
              <w:t>ny stage of its life cycle which are not minimised by adequate measures</w:t>
            </w:r>
            <w:r>
              <w:rPr>
                <w:b/>
                <w:vertAlign w:val="superscript"/>
              </w:rPr>
              <w:footnoteReference w:id="2"/>
            </w:r>
            <w:r>
              <w:rPr>
                <w:b/>
              </w:rPr>
              <w:t xml:space="preserve">; </w:t>
            </w:r>
          </w:p>
          <w:p w:rsidR="00622934" w:rsidRDefault="008B031B">
            <w:pPr>
              <w:numPr>
                <w:ilvl w:val="0"/>
                <w:numId w:val="1"/>
              </w:numPr>
              <w:spacing w:line="259" w:lineRule="auto"/>
              <w:rPr>
                <w:b/>
              </w:rPr>
            </w:pPr>
            <w:r>
              <w:rPr>
                <w:b/>
              </w:rPr>
              <w:t>or</w:t>
            </w:r>
          </w:p>
          <w:p w:rsidR="00622934" w:rsidRDefault="008B031B">
            <w:pPr>
              <w:spacing w:line="256" w:lineRule="auto"/>
              <w:rPr>
                <w:b/>
              </w:rPr>
            </w:pPr>
            <w:r>
              <w:rPr>
                <w:b/>
                <w:color w:val="000000"/>
              </w:rPr>
              <w:t>cause significant and long-term harm to the environment in respect to the circular economy</w:t>
            </w:r>
            <w:r>
              <w:rPr>
                <w:b/>
                <w:color w:val="000000"/>
                <w:highlight w:val="white"/>
                <w:vertAlign w:val="superscript"/>
              </w:rPr>
              <w:footnoteReference w:id="3"/>
            </w:r>
            <w:r>
              <w:rPr>
                <w:b/>
                <w:color w:val="000000"/>
              </w:rPr>
              <w:t>? </w:t>
            </w:r>
          </w:p>
        </w:tc>
        <w:tc>
          <w:tcPr>
            <w:tcW w:w="570" w:type="dxa"/>
          </w:tcPr>
          <w:p w:rsidR="00622934" w:rsidRDefault="008B031B">
            <w:pPr>
              <w:spacing w:line="256" w:lineRule="auto"/>
              <w:jc w:val="center"/>
              <w:rPr>
                <w:b/>
              </w:rPr>
            </w:pPr>
            <w:r>
              <w:rPr>
                <w:b/>
              </w:rPr>
              <w:lastRenderedPageBreak/>
              <w:t>X</w:t>
            </w:r>
          </w:p>
        </w:tc>
        <w:tc>
          <w:tcPr>
            <w:tcW w:w="10920" w:type="dxa"/>
          </w:tcPr>
          <w:p w:rsidR="00622934" w:rsidRDefault="008B031B">
            <w:pPr>
              <w:spacing w:line="256" w:lineRule="auto"/>
              <w:jc w:val="both"/>
            </w:pPr>
            <w:r>
              <w:t xml:space="preserve">În toate etapele submăsurii se va menţine evidenţa gestiunii deşeurilor conform </w:t>
            </w:r>
            <w:r>
              <w:rPr>
                <w:i/>
              </w:rPr>
              <w:t>Le</w:t>
            </w:r>
            <w:r>
              <w:rPr>
                <w:i/>
              </w:rPr>
              <w:t>gii nr. 211/2011 privind regimul deşeurilor</w:t>
            </w:r>
            <w:r>
              <w:t xml:space="preserve">, cu modificările şi completările ulterioare, HG nr. 856/2002 (Directiva 2008/98/CE privind deșeurile și de abrogare a anumitor directive) şi respectiv </w:t>
            </w:r>
            <w:r>
              <w:rPr>
                <w:i/>
              </w:rPr>
              <w:t>Legea nr. 249/2015 privind modalitatea de gestionare a ambala</w:t>
            </w:r>
            <w:r>
              <w:rPr>
                <w:i/>
              </w:rPr>
              <w:t>jelor şi a deşeurilor de ambalaje</w:t>
            </w:r>
            <w:r>
              <w:t>, cu modificările şi completările ulterioare.</w:t>
            </w:r>
          </w:p>
          <w:p w:rsidR="00622934" w:rsidRDefault="00622934">
            <w:pPr>
              <w:spacing w:line="256" w:lineRule="auto"/>
              <w:jc w:val="both"/>
            </w:pPr>
          </w:p>
          <w:p w:rsidR="00622934" w:rsidRDefault="008B031B">
            <w:pPr>
              <w:spacing w:line="256" w:lineRule="auto"/>
              <w:jc w:val="both"/>
            </w:pPr>
            <w:r>
              <w:t>Gestionarea deşeurilor rezultate atât din faza de operare (întreținere/mentenanță), cât și cele rezultate la finalul duratei de viață a activelor mobile se va realiza î linie c</w:t>
            </w:r>
            <w:r>
              <w:t xml:space="preserve">u obiectivele de reducere a cantităţilor de deşeuri generate şi de maximizare a reutilizării şi reciclării, respectiv în linie cu obiectivele din cadrul general de gestionare a deşeurilor la nivel naţional - </w:t>
            </w:r>
            <w:r>
              <w:rPr>
                <w:i/>
              </w:rPr>
              <w:t>Planul naţional de gestionare a deşeurilor</w:t>
            </w:r>
            <w:r>
              <w:t xml:space="preserve"> (elab</w:t>
            </w:r>
            <w:r>
              <w:t xml:space="preserve">orat în baza art. 28 al </w:t>
            </w:r>
            <w:r>
              <w:rPr>
                <w:i/>
              </w:rPr>
              <w:t>Directivei 2008/98/EC privind deşeurile şi de abrogare a anumitor directive, cu modificările ulterioare şi aprobat</w:t>
            </w:r>
            <w:r>
              <w:t xml:space="preserve"> </w:t>
            </w:r>
            <w:r>
              <w:rPr>
                <w:i/>
              </w:rPr>
              <w:t>prin Hotărârea Guvernului nr. 942/2017</w:t>
            </w:r>
            <w:r>
              <w:t>).</w:t>
            </w:r>
          </w:p>
          <w:p w:rsidR="00622934" w:rsidRDefault="00622934">
            <w:pPr>
              <w:spacing w:line="256" w:lineRule="auto"/>
              <w:jc w:val="both"/>
            </w:pPr>
          </w:p>
          <w:p w:rsidR="00622934" w:rsidRDefault="008B031B">
            <w:pPr>
              <w:spacing w:line="256" w:lineRule="auto"/>
              <w:jc w:val="both"/>
            </w:pPr>
            <w:r>
              <w:t>Pentru asigurarea mentenanţei materialului rulant se are în vedere încheierea de contracte cu firme specializate. Totodată, firmele specializate selectate vor gestiona şi deşeurile rezultate în conformitate cu prevederile legale în vigoare.</w:t>
            </w:r>
          </w:p>
          <w:p w:rsidR="00622934" w:rsidRDefault="00622934">
            <w:pPr>
              <w:spacing w:line="256" w:lineRule="auto"/>
              <w:jc w:val="both"/>
            </w:pPr>
          </w:p>
          <w:p w:rsidR="00622934" w:rsidRDefault="008B031B">
            <w:pPr>
              <w:spacing w:line="256" w:lineRule="auto"/>
              <w:jc w:val="both"/>
            </w:pPr>
            <w:r>
              <w:t>Societăţile ca</w:t>
            </w:r>
            <w:r>
              <w:t>re vor presta aceste servicii au obligaţia legală de a respecta normele de protecţia mediului, inclusiv tranziţia către o economie circulară, Mai mult, activităţile de fabricaţie şi reparaţii ale materialului rulant sunt supuse procedurii de emitere a auto</w:t>
            </w:r>
            <w:r>
              <w:t xml:space="preserve">rizaţiei de mediu (a se vedea OUG nr. 195/2005 şi Ordinul MMDD nr. </w:t>
            </w:r>
            <w:r>
              <w:lastRenderedPageBreak/>
              <w:t xml:space="preserve">1798/2007), fiind analizate, de către autorităţile cu competenţe în domeniul protecţiei mediului, modul de gospodărire a deşeurilor şi a ambalajelor, modul de gospodărire a substanţelor şi </w:t>
            </w:r>
            <w:r>
              <w:t>preparatelor periculoase, programul de conformare - măsuri pentru reducerea efectelor prezente şi viitoare ale activităţilor etc.</w:t>
            </w:r>
          </w:p>
          <w:p w:rsidR="00622934" w:rsidRDefault="00622934">
            <w:pPr>
              <w:spacing w:line="256" w:lineRule="auto"/>
              <w:jc w:val="both"/>
            </w:pPr>
          </w:p>
          <w:p w:rsidR="00622934" w:rsidRDefault="008B031B">
            <w:pPr>
              <w:spacing w:line="256" w:lineRule="auto"/>
              <w:jc w:val="both"/>
            </w:pPr>
            <w:r>
              <w:t>Bateriile și acumulatorii industriali, ce includ bateriile și acumulatorii folosiți în trenuri, vor fi colectate, tratate, re</w:t>
            </w:r>
            <w:r>
              <w:t xml:space="preserve">ciclate și eliminate în conformitate cu prevederile </w:t>
            </w:r>
            <w:r>
              <w:rPr>
                <w:i/>
              </w:rPr>
              <w:t>Directivei 2006/66/CE privind bateriile și acumulatorii și deșeurile de baterii și acumulatori și de abrogare a Directivei 91/157/CEE, transpusă în legislaţia naţională</w:t>
            </w:r>
            <w:r>
              <w:t xml:space="preserve"> (de ex. Hotărârea de Guvern nr. 113</w:t>
            </w:r>
            <w:r>
              <w:t>2/2008, modificată prin Hotărârea de Guvern nr. 1079/2011).</w:t>
            </w:r>
          </w:p>
          <w:p w:rsidR="00622934" w:rsidRDefault="00622934">
            <w:pPr>
              <w:spacing w:line="256" w:lineRule="auto"/>
              <w:jc w:val="both"/>
            </w:pPr>
          </w:p>
          <w:p w:rsidR="00622934" w:rsidRDefault="008B031B">
            <w:pPr>
              <w:spacing w:line="256" w:lineRule="auto"/>
              <w:jc w:val="both"/>
            </w:pPr>
            <w:r>
              <w:t>Deşeurile de echipamente electrice și electronice, de exemplu echipamente informatice şi de telecomunicaţii de dimensiuni mici (nicio dimensiune externă mai mare de 50 cm), vor fi gestionate în c</w:t>
            </w:r>
            <w:r>
              <w:t xml:space="preserve">onformitate cu </w:t>
            </w:r>
            <w:r>
              <w:rPr>
                <w:i/>
              </w:rPr>
              <w:t>Directiva 2012/19/UE a Parlamentului European şi a Consiliului din 4 iulie 2012 privind deşeurile de echipamente electrice şi electronice (DEEE)</w:t>
            </w:r>
            <w:r>
              <w:t xml:space="preserve">, transpusă în legislaţia naţională prin </w:t>
            </w:r>
            <w:r>
              <w:rPr>
                <w:i/>
              </w:rPr>
              <w:t>OUG 5/2015 privind deşeurile de echipamente electrice şi</w:t>
            </w:r>
            <w:r>
              <w:rPr>
                <w:i/>
              </w:rPr>
              <w:t xml:space="preserve"> electronice.</w:t>
            </w:r>
          </w:p>
          <w:p w:rsidR="00622934" w:rsidRDefault="00622934">
            <w:pPr>
              <w:spacing w:line="256" w:lineRule="auto"/>
              <w:jc w:val="both"/>
            </w:pPr>
          </w:p>
          <w:p w:rsidR="00E07B45" w:rsidRDefault="008B031B" w:rsidP="00E07B45">
            <w:pPr>
              <w:spacing w:line="254" w:lineRule="auto"/>
              <w:jc w:val="both"/>
            </w:pPr>
            <w:r>
              <w:t>În mod similar cu etapa de realizare a materialului rulant, în etapa de exploatare a materialului rulant,  asigurarea mentenanţei acestuia se va realiza prin încheierea de contracte de întreținere și reparații cu companii specializate în ace</w:t>
            </w:r>
            <w:r>
              <w:t xml:space="preserve">st domeniu. </w:t>
            </w:r>
            <w:r w:rsidR="00E07B45">
              <w:t>Companiile specializate în întreținerea și reparația materialului rulant vor gestiona deşeurile rezultate în conformitate cu prevederile legale în vigoare, și vor limita generarea de deșeuri în procesele de întreținere și reparații, vor lua în considerare cele mai bune tehnici disponibile și va demonta /sorta deşeurile rezultate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întreținere și reparații material rulant.</w:t>
            </w:r>
          </w:p>
          <w:p w:rsidR="00622934" w:rsidRDefault="008B031B">
            <w:pPr>
              <w:spacing w:line="256" w:lineRule="auto"/>
              <w:jc w:val="both"/>
            </w:pPr>
            <w:bookmarkStart w:id="1" w:name="_GoBack"/>
            <w:bookmarkEnd w:id="1"/>
            <w:r>
              <w:lastRenderedPageBreak/>
              <w:t>Colectarea a</w:t>
            </w:r>
            <w:r>
              <w:t>pelor uzate și a deşeurilor menajere din perioada de exploatare a trenurilor de călători se va realiza în conformitate cu legislația în vigoare. Astfel apele uzate sunt tratate prin sistemele municipale de tratare a apelor cu scopul obţinerii unei stări bu</w:t>
            </w:r>
            <w:r>
              <w:t>ne a apelor de suprafaţă şi subterane, precum şi un potențial ecologic bun, aşa cum sunt definite în Articolul 2, punctele (22) şi (23) din Regulamentul (UE) 2020/852, în conformitate cu Directiva 2000/60/CE (Directiva-cadru privind apa), iar în cazul deșe</w:t>
            </w:r>
            <w:r>
              <w:t>urilor menajere acestea  vor fi reciclate, recuperate sau eliminate la rampele municipale de deșeuri, urmând a fi încheiate contracte cu operatori de salubritate autorizați.</w:t>
            </w:r>
          </w:p>
          <w:p w:rsidR="00622934" w:rsidRDefault="00622934">
            <w:pPr>
              <w:spacing w:line="256" w:lineRule="auto"/>
              <w:jc w:val="both"/>
            </w:pPr>
          </w:p>
          <w:p w:rsidR="00622934" w:rsidRDefault="008B031B">
            <w:pPr>
              <w:spacing w:line="256" w:lineRule="auto"/>
              <w:jc w:val="both"/>
            </w:pPr>
            <w:r>
              <w:t xml:space="preserve">În conformitate cu prevederile </w:t>
            </w:r>
            <w:r>
              <w:rPr>
                <w:i/>
              </w:rPr>
              <w:t xml:space="preserve">Anexei 1 la Hotărârea de Guvern nr. 2.139/2004, </w:t>
            </w:r>
            <w:r>
              <w:t>se</w:t>
            </w:r>
            <w:r>
              <w:t xml:space="preserve">cţiunea </w:t>
            </w:r>
            <w:r>
              <w:rPr>
                <w:i/>
              </w:rPr>
              <w:t>2.3.1 Mijloace de Transport Feroviare</w:t>
            </w:r>
            <w:r>
              <w:t>, durata de viaţă a locomotivelor, locotractoare şi automotoare de ecartament normal este între 12-18 ani.</w:t>
            </w:r>
          </w:p>
          <w:p w:rsidR="00622934" w:rsidRDefault="00622934">
            <w:pPr>
              <w:spacing w:line="256" w:lineRule="auto"/>
              <w:jc w:val="both"/>
            </w:pPr>
          </w:p>
          <w:p w:rsidR="00622934" w:rsidRDefault="008B031B">
            <w:pPr>
              <w:spacing w:line="256" w:lineRule="auto"/>
              <w:jc w:val="both"/>
              <w:rPr>
                <w:b/>
              </w:rPr>
            </w:pPr>
            <w:r>
              <w:t xml:space="preserve">În conformitate cu prevederile </w:t>
            </w:r>
            <w:r>
              <w:rPr>
                <w:i/>
              </w:rPr>
              <w:t>Anexei 1 la Hotărârea de Guvern nr. 2.139/2004 (*actualizată*) pentru ap</w:t>
            </w:r>
            <w:r>
              <w:rPr>
                <w:i/>
              </w:rPr>
              <w:t>robarea Catalogului privind clasificarea şi duratele normale de funcţionare a mijloacelor fixe</w:t>
            </w:r>
            <w:r>
              <w:t>, menţinerea în funcţiune a mijloacelor fixe care pot afecta protecţia vieţii, a sănătăţii şi a mediului (</w:t>
            </w:r>
            <w:r>
              <w:rPr>
                <w:b/>
              </w:rPr>
              <w:t>mijloace de transport rutier, feroviar</w:t>
            </w:r>
            <w:r>
              <w:t>, aerian şi naval,</w:t>
            </w:r>
            <w:r>
              <w:t xml:space="preserve"> maşini de construcţii şi de gospodărie comunală, maşini de ridicat etc.) </w:t>
            </w:r>
            <w:r>
              <w:rPr>
                <w:b/>
              </w:rPr>
              <w:t xml:space="preserve">după expirarea duratei normale de funcţionare, se va putea face numai pe baza unui raport tehnic întocmit de organisme de certificare sau organisme de inspecţie tehnică abilitate în </w:t>
            </w:r>
            <w:r>
              <w:rPr>
                <w:b/>
              </w:rPr>
              <w:t>domeniul de activitate al mijlocului fix.</w:t>
            </w:r>
          </w:p>
          <w:p w:rsidR="00622934" w:rsidRDefault="00622934">
            <w:pPr>
              <w:spacing w:line="256" w:lineRule="auto"/>
              <w:jc w:val="both"/>
              <w:rPr>
                <w:b/>
              </w:rPr>
            </w:pPr>
          </w:p>
          <w:p w:rsidR="00622934" w:rsidRDefault="008B031B">
            <w:pPr>
              <w:spacing w:line="256" w:lineRule="auto"/>
              <w:jc w:val="both"/>
            </w:pPr>
            <w:r>
              <w:t>În condiţiile respectării prevederii legale de mai sus, se va evita scoaterea din folosință a materialului rulant cu care se poate presta în condiții bune serviciul de transport public de călători. Astfel, materia</w:t>
            </w:r>
            <w:r>
              <w:t>lul rulant poate fi supus serviciilor de modernizare, reparații, schimbări de componente, astfel încȃt să se asigure o utilizare durabilă a resurselor.</w:t>
            </w:r>
          </w:p>
          <w:p w:rsidR="00622934" w:rsidRDefault="00622934">
            <w:pPr>
              <w:spacing w:line="256" w:lineRule="auto"/>
              <w:jc w:val="both"/>
            </w:pPr>
          </w:p>
          <w:p w:rsidR="00622934" w:rsidRDefault="008B031B">
            <w:pPr>
              <w:spacing w:line="256" w:lineRule="auto"/>
              <w:jc w:val="both"/>
            </w:pPr>
            <w:r>
              <w:t>După scoaterea din uz a materialului rulant, părțile componente vor fi dezmembrate, sortate şi pregătit</w:t>
            </w:r>
            <w:r>
              <w:t>e pentru reutilizare.</w:t>
            </w:r>
          </w:p>
        </w:tc>
      </w:tr>
    </w:tbl>
    <w:p w:rsidR="00622934" w:rsidRDefault="00622934">
      <w:pPr>
        <w:widowControl w:val="0"/>
        <w:pBdr>
          <w:top w:val="nil"/>
          <w:left w:val="nil"/>
          <w:bottom w:val="nil"/>
          <w:right w:val="nil"/>
          <w:between w:val="nil"/>
        </w:pBdr>
        <w:spacing w:before="7" w:after="0" w:line="240" w:lineRule="auto"/>
        <w:rPr>
          <w:rFonts w:ascii="Times New Roman" w:eastAsia="Times New Roman" w:hAnsi="Times New Roman" w:cs="Times New Roman"/>
          <w:color w:val="000000"/>
          <w:sz w:val="24"/>
          <w:szCs w:val="24"/>
        </w:rPr>
      </w:pPr>
    </w:p>
    <w:p w:rsidR="00622934" w:rsidRDefault="00622934">
      <w:pPr>
        <w:spacing w:line="256" w:lineRule="auto"/>
        <w:rPr>
          <w:rFonts w:ascii="Times New Roman" w:eastAsia="Times New Roman" w:hAnsi="Times New Roman" w:cs="Times New Roman"/>
          <w:b/>
          <w:sz w:val="24"/>
          <w:szCs w:val="24"/>
        </w:rPr>
      </w:pPr>
    </w:p>
    <w:sectPr w:rsidR="00622934">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31B" w:rsidRDefault="008B031B">
      <w:pPr>
        <w:spacing w:after="0" w:line="240" w:lineRule="auto"/>
      </w:pPr>
      <w:r>
        <w:separator/>
      </w:r>
    </w:p>
  </w:endnote>
  <w:endnote w:type="continuationSeparator" w:id="0">
    <w:p w:rsidR="008B031B" w:rsidRDefault="008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934" w:rsidRDefault="008B031B">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E07B45">
      <w:rPr>
        <w:rFonts w:ascii="Arial" w:eastAsia="Arial" w:hAnsi="Arial" w:cs="Arial"/>
        <w:b/>
        <w:color w:val="FFFFFF"/>
        <w:sz w:val="20"/>
        <w:szCs w:val="20"/>
      </w:rPr>
      <w:fldChar w:fldCharType="separate"/>
    </w:r>
    <w:r w:rsidR="00C918DB">
      <w:rPr>
        <w:rFonts w:ascii="Arial" w:eastAsia="Arial" w:hAnsi="Arial" w:cs="Arial"/>
        <w:b/>
        <w:noProof/>
        <w:color w:val="FFFFFF"/>
        <w:sz w:val="20"/>
        <w:szCs w:val="20"/>
      </w:rPr>
      <w:t>6</w:t>
    </w:r>
    <w:r>
      <w:rPr>
        <w:rFonts w:ascii="Arial" w:eastAsia="Arial" w:hAnsi="Arial" w:cs="Arial"/>
        <w:b/>
        <w:color w:val="FFFFFF"/>
        <w:sz w:val="20"/>
        <w:szCs w:val="20"/>
      </w:rPr>
      <w:fldChar w:fldCharType="end"/>
    </w:r>
  </w:p>
  <w:p w:rsidR="00622934" w:rsidRDefault="00E07B45">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8B031B">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31B" w:rsidRDefault="008B031B">
      <w:pPr>
        <w:spacing w:after="0" w:line="240" w:lineRule="auto"/>
      </w:pPr>
      <w:r>
        <w:separator/>
      </w:r>
    </w:p>
  </w:footnote>
  <w:footnote w:type="continuationSeparator" w:id="0">
    <w:p w:rsidR="008B031B" w:rsidRDefault="008B031B">
      <w:pPr>
        <w:spacing w:after="0" w:line="240" w:lineRule="auto"/>
      </w:pPr>
      <w:r>
        <w:continuationSeparator/>
      </w:r>
    </w:p>
  </w:footnote>
  <w:footnote w:id="1">
    <w:p w:rsidR="00622934" w:rsidRDefault="008B031B">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622934" w:rsidRDefault="008B031B">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For </w:t>
      </w:r>
      <w:r>
        <w:rPr>
          <w:rFonts w:ascii="Times New Roman" w:eastAsia="Times New Roman" w:hAnsi="Times New Roman" w:cs="Times New Roman"/>
          <w:i/>
          <w:color w:val="000000"/>
          <w:sz w:val="16"/>
          <w:szCs w:val="16"/>
        </w:rPr>
        <w:t xml:space="preserve">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color w:val="000000"/>
          <w:sz w:val="16"/>
          <w:szCs w:val="16"/>
        </w:rPr>
        <w:t xml:space="preserve">ts, components and materials at their highest utility and value for as long as possible. This also comprises a significant reduction in the content of hazardous </w:t>
      </w:r>
      <w:r>
        <w:rPr>
          <w:rFonts w:ascii="Times New Roman" w:eastAsia="Times New Roman" w:hAnsi="Times New Roman" w:cs="Times New Roman"/>
          <w:i/>
          <w:sz w:val="16"/>
          <w:szCs w:val="16"/>
        </w:rPr>
        <w:t>substances</w:t>
      </w:r>
      <w:r>
        <w:rPr>
          <w:rFonts w:ascii="Times New Roman" w:eastAsia="Times New Roman" w:hAnsi="Times New Roman" w:cs="Times New Roman"/>
          <w:i/>
          <w:color w:val="000000"/>
          <w:sz w:val="16"/>
          <w:szCs w:val="16"/>
        </w:rPr>
        <w:t xml:space="preserve"> in materials and products, including by replacing them with safer alternatives. This</w:t>
      </w:r>
      <w:r>
        <w:rPr>
          <w:rFonts w:ascii="Times New Roman" w:eastAsia="Times New Roman" w:hAnsi="Times New Roman" w:cs="Times New Roman"/>
          <w:i/>
          <w:color w:val="000000"/>
          <w:sz w:val="16"/>
          <w:szCs w:val="16"/>
        </w:rPr>
        <w:t xml:space="preserve"> further includes significantly reducing food waste in the production, processing, manufacturing or distribution of food.</w:t>
      </w:r>
    </w:p>
  </w:footnote>
  <w:footnote w:id="3">
    <w:p w:rsidR="00622934" w:rsidRDefault="008B031B">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Please </w:t>
      </w:r>
      <w:r>
        <w:rPr>
          <w:rFonts w:ascii="Times New Roman" w:eastAsia="Times New Roman" w:hAnsi="Times New Roman" w:cs="Times New Roman"/>
          <w:i/>
          <w:color w:val="000000"/>
          <w:sz w:val="16"/>
          <w:szCs w:val="16"/>
        </w:rPr>
        <w:t xml:space="preserve">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B93644"/>
    <w:multiLevelType w:val="multilevel"/>
    <w:tmpl w:val="0BBCA7DC"/>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34"/>
    <w:rsid w:val="00622934"/>
    <w:rsid w:val="008B031B"/>
    <w:rsid w:val="00C918DB"/>
    <w:rsid w:val="00E07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7299"/>
  <w15:docId w15:val="{C06FA843-A85A-4B15-9169-CE24EB5D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paragraph" w:styleId="CommentSubject">
    <w:name w:val="annotation subject"/>
    <w:basedOn w:val="CommentText"/>
    <w:next w:val="CommentText"/>
    <w:link w:val="CommentSubjectChar"/>
    <w:uiPriority w:val="99"/>
    <w:semiHidden/>
    <w:unhideWhenUsed/>
    <w:rsid w:val="0086241C"/>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86241C"/>
    <w:rPr>
      <w:rFonts w:ascii="Times New Roman" w:eastAsia="Times New Roman" w:hAnsi="Times New Roman" w:cs="Times New Roman"/>
      <w:b/>
      <w:bCs/>
      <w:sz w:val="20"/>
      <w:szCs w:val="20"/>
      <w:lang w:val="ro-RO"/>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E0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45"/>
  </w:style>
  <w:style w:type="paragraph" w:styleId="Footer">
    <w:name w:val="footer"/>
    <w:basedOn w:val="Normal"/>
    <w:link w:val="FooterChar"/>
    <w:uiPriority w:val="99"/>
    <w:unhideWhenUsed/>
    <w:rsid w:val="00E0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55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n9a9rZIyj9yInjqvqy49pZo1fg==">AMUW2mVd2DUH7nanblmUaXt6pWsD/YSvTAfrwGegcTshTX72uMtgSe5zlNhup357er/kuU2dBLyRhB6BRQovSMj5ecrUYpcVDStIhhpWU3Kcd/tDxSYF/O8jgmSh4c7fvzWZnZhtViTf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1919</Words>
  <Characters>10943</Characters>
  <Application>Microsoft Office Word</Application>
  <DocSecurity>0</DocSecurity>
  <Lines>91</Lines>
  <Paragraphs>25</Paragraphs>
  <ScaleCrop>false</ScaleCrop>
  <Company>HP</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4</cp:revision>
  <dcterms:created xsi:type="dcterms:W3CDTF">2021-05-21T11:50:00Z</dcterms:created>
  <dcterms:modified xsi:type="dcterms:W3CDTF">2021-05-29T21:36:00Z</dcterms:modified>
</cp:coreProperties>
</file>